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EB0" w:rsidRDefault="00DF7EB0"/>
    <w:tbl>
      <w:tblPr>
        <w:tblpPr w:leftFromText="180" w:rightFromText="180"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8829"/>
      </w:tblGrid>
      <w:tr w:rsidR="00DF7EB0" w:rsidRPr="00B9029E" w:rsidTr="00DF7EB0">
        <w:trPr>
          <w:trHeight w:val="438"/>
        </w:trPr>
        <w:tc>
          <w:tcPr>
            <w:tcW w:w="1548" w:type="dxa"/>
            <w:shd w:val="clear" w:color="auto" w:fill="auto"/>
          </w:tcPr>
          <w:p w:rsidR="00DF7EB0" w:rsidRDefault="00DF7EB0" w:rsidP="00DF7EB0">
            <w:pPr>
              <w:tabs>
                <w:tab w:val="right" w:pos="3312"/>
              </w:tabs>
              <w:jc w:val="center"/>
              <w:rPr>
                <w:rFonts w:ascii="Garamond" w:hAnsi="Garamond"/>
              </w:rPr>
            </w:pPr>
          </w:p>
          <w:p w:rsidR="00DF7EB0" w:rsidRPr="00DF7EB0" w:rsidRDefault="00DF7EB0" w:rsidP="00DF7EB0">
            <w:pPr>
              <w:tabs>
                <w:tab w:val="right" w:pos="3312"/>
              </w:tabs>
              <w:jc w:val="center"/>
              <w:rPr>
                <w:rFonts w:ascii="Garamond" w:hAnsi="Garamond"/>
              </w:rPr>
            </w:pPr>
            <w:r w:rsidRPr="00DF7EB0">
              <w:rPr>
                <w:rFonts w:ascii="Garamond" w:hAnsi="Garamond"/>
              </w:rPr>
              <w:t>Definition</w:t>
            </w:r>
          </w:p>
          <w:p w:rsidR="00DF7EB0" w:rsidRPr="00DF7EB0" w:rsidRDefault="00DF7EB0" w:rsidP="00DF7EB0">
            <w:pPr>
              <w:tabs>
                <w:tab w:val="right" w:pos="3312"/>
              </w:tabs>
              <w:rPr>
                <w:rFonts w:ascii="Garamond" w:hAnsi="Garamond"/>
              </w:rPr>
            </w:pPr>
          </w:p>
          <w:p w:rsidR="00DF7EB0" w:rsidRPr="00B9029E" w:rsidRDefault="00DF7EB0" w:rsidP="00DF7EB0">
            <w:pPr>
              <w:tabs>
                <w:tab w:val="right" w:pos="3312"/>
              </w:tabs>
              <w:jc w:val="center"/>
              <w:rPr>
                <w:rFonts w:ascii="Garamond" w:hAnsi="Garamond"/>
                <w:b/>
              </w:rPr>
            </w:pPr>
          </w:p>
        </w:tc>
        <w:tc>
          <w:tcPr>
            <w:tcW w:w="8829" w:type="dxa"/>
          </w:tcPr>
          <w:p w:rsidR="00DF7EB0" w:rsidRDefault="009D75D5" w:rsidP="00DF7EB0">
            <w:pPr>
              <w:rPr>
                <w:rFonts w:ascii="Garamond" w:hAnsi="Garamond"/>
                <w:b/>
              </w:rPr>
            </w:pPr>
            <w:r>
              <w:rPr>
                <w:rFonts w:ascii="Garamond" w:hAnsi="Garamond"/>
              </w:rPr>
              <w:t xml:space="preserve">A comprehension strategy that teaches children to stop frequently and check, or monitor, if they </w:t>
            </w:r>
            <w:r w:rsidR="0005072C">
              <w:rPr>
                <w:rFonts w:ascii="Garamond" w:hAnsi="Garamond"/>
              </w:rPr>
              <w:t>understand what they are reading.  This typica</w:t>
            </w:r>
            <w:r w:rsidR="00DA74D2">
              <w:rPr>
                <w:rFonts w:ascii="Garamond" w:hAnsi="Garamond"/>
              </w:rPr>
              <w:t>lly is a quick summary of what they</w:t>
            </w:r>
            <w:r w:rsidR="0005072C">
              <w:rPr>
                <w:rFonts w:ascii="Garamond" w:hAnsi="Garamond"/>
              </w:rPr>
              <w:t xml:space="preserve"> read starting with “who” and “what</w:t>
            </w:r>
            <w:r w:rsidR="00DA74D2">
              <w:rPr>
                <w:rFonts w:ascii="Garamond" w:hAnsi="Garamond"/>
              </w:rPr>
              <w:t>.</w:t>
            </w:r>
            <w:r w:rsidR="0005072C">
              <w:rPr>
                <w:rFonts w:ascii="Garamond" w:hAnsi="Garamond"/>
              </w:rPr>
              <w:t>”</w:t>
            </w:r>
          </w:p>
          <w:p w:rsidR="00DF7EB0" w:rsidRPr="00DF7EB0" w:rsidRDefault="00DF7EB0" w:rsidP="00DF7EB0">
            <w:pPr>
              <w:rPr>
                <w:rFonts w:ascii="Garamond" w:hAnsi="Garamond"/>
              </w:rPr>
            </w:pPr>
          </w:p>
        </w:tc>
      </w:tr>
      <w:tr w:rsidR="00DF7EB0" w:rsidRPr="00B9029E" w:rsidTr="00DF7EB0">
        <w:trPr>
          <w:trHeight w:val="438"/>
        </w:trPr>
        <w:tc>
          <w:tcPr>
            <w:tcW w:w="1548" w:type="dxa"/>
            <w:shd w:val="clear" w:color="auto" w:fill="auto"/>
          </w:tcPr>
          <w:p w:rsidR="00DF7EB0" w:rsidRDefault="00DF7EB0" w:rsidP="00DF7EB0">
            <w:pPr>
              <w:tabs>
                <w:tab w:val="right" w:pos="3312"/>
              </w:tabs>
              <w:jc w:val="center"/>
              <w:rPr>
                <w:rFonts w:ascii="Garamond" w:hAnsi="Garamond"/>
              </w:rPr>
            </w:pPr>
          </w:p>
          <w:p w:rsidR="00DF7EB0" w:rsidRDefault="00DF7EB0" w:rsidP="00DF7EB0">
            <w:pPr>
              <w:tabs>
                <w:tab w:val="right" w:pos="3312"/>
              </w:tabs>
              <w:jc w:val="center"/>
              <w:rPr>
                <w:rFonts w:ascii="Garamond" w:hAnsi="Garamond"/>
              </w:rPr>
            </w:pPr>
            <w:r>
              <w:rPr>
                <w:rFonts w:ascii="Garamond" w:hAnsi="Garamond"/>
              </w:rPr>
              <w:t>Why Children need this S</w:t>
            </w:r>
            <w:r w:rsidRPr="00DF7EB0">
              <w:rPr>
                <w:rFonts w:ascii="Garamond" w:hAnsi="Garamond"/>
              </w:rPr>
              <w:t>trategy</w:t>
            </w:r>
          </w:p>
          <w:p w:rsidR="00DF7EB0" w:rsidRPr="00DF7EB0" w:rsidRDefault="00DF7EB0" w:rsidP="00DF7EB0">
            <w:pPr>
              <w:tabs>
                <w:tab w:val="right" w:pos="3312"/>
              </w:tabs>
              <w:jc w:val="center"/>
              <w:rPr>
                <w:rFonts w:ascii="Garamond" w:hAnsi="Garamond"/>
              </w:rPr>
            </w:pPr>
          </w:p>
        </w:tc>
        <w:tc>
          <w:tcPr>
            <w:tcW w:w="8829" w:type="dxa"/>
          </w:tcPr>
          <w:p w:rsidR="00DF7EB0" w:rsidRDefault="009D75D5" w:rsidP="00DF7EB0">
            <w:pPr>
              <w:rPr>
                <w:rFonts w:ascii="Garamond" w:hAnsi="Garamond"/>
                <w:b/>
              </w:rPr>
            </w:pPr>
            <w:r>
              <w:rPr>
                <w:rFonts w:ascii="Garamond" w:hAnsi="Garamond"/>
              </w:rPr>
              <w:t>Often as beginning readers, children are</w:t>
            </w:r>
            <w:r w:rsidR="00DA74D2">
              <w:rPr>
                <w:rFonts w:ascii="Garamond" w:hAnsi="Garamond"/>
              </w:rPr>
              <w:t xml:space="preserve"> so aware of reading accurately that</w:t>
            </w:r>
            <w:r>
              <w:rPr>
                <w:rFonts w:ascii="Garamond" w:hAnsi="Garamond"/>
              </w:rPr>
              <w:t xml:space="preserve"> they forget to take time and think about what they are reading, checking to see if they understand the text. Advanced </w:t>
            </w:r>
            <w:r w:rsidR="0005072C">
              <w:rPr>
                <w:rFonts w:ascii="Garamond" w:hAnsi="Garamond"/>
              </w:rPr>
              <w:t>readers can develop the habit of</w:t>
            </w:r>
            <w:r>
              <w:rPr>
                <w:rFonts w:ascii="Garamond" w:hAnsi="Garamond"/>
              </w:rPr>
              <w:t xml:space="preserve"> read</w:t>
            </w:r>
            <w:r w:rsidR="0005072C">
              <w:rPr>
                <w:rFonts w:ascii="Garamond" w:hAnsi="Garamond"/>
              </w:rPr>
              <w:t>ing</w:t>
            </w:r>
            <w:r>
              <w:rPr>
                <w:rFonts w:ascii="Garamond" w:hAnsi="Garamond"/>
              </w:rPr>
              <w:t xml:space="preserve"> through text without monitoring </w:t>
            </w:r>
            <w:r w:rsidR="0005072C">
              <w:rPr>
                <w:rFonts w:ascii="Garamond" w:hAnsi="Garamond"/>
              </w:rPr>
              <w:t>if they were</w:t>
            </w:r>
            <w:r>
              <w:rPr>
                <w:rFonts w:ascii="Garamond" w:hAnsi="Garamond"/>
              </w:rPr>
              <w:t xml:space="preserve"> unaware of Checking for Understanding as beginning readers.</w:t>
            </w:r>
          </w:p>
          <w:p w:rsidR="00DF7EB0" w:rsidRPr="009E27C3" w:rsidRDefault="00DF7EB0" w:rsidP="00DF7EB0">
            <w:pPr>
              <w:rPr>
                <w:rFonts w:ascii="Garamond" w:hAnsi="Garamond"/>
              </w:rPr>
            </w:pPr>
          </w:p>
        </w:tc>
      </w:tr>
      <w:tr w:rsidR="00DF7EB0" w:rsidRPr="00B9029E" w:rsidTr="00DF7EB0">
        <w:trPr>
          <w:trHeight w:val="438"/>
        </w:trPr>
        <w:tc>
          <w:tcPr>
            <w:tcW w:w="1548" w:type="dxa"/>
            <w:shd w:val="clear" w:color="auto" w:fill="auto"/>
          </w:tcPr>
          <w:p w:rsidR="00DF7EB0" w:rsidRDefault="00DF7EB0" w:rsidP="00DF7EB0">
            <w:pPr>
              <w:tabs>
                <w:tab w:val="right" w:pos="3312"/>
              </w:tabs>
              <w:jc w:val="center"/>
              <w:rPr>
                <w:rFonts w:ascii="Garamond" w:hAnsi="Garamond"/>
                <w:b/>
              </w:rPr>
            </w:pPr>
          </w:p>
          <w:p w:rsidR="00DF7EB0" w:rsidRDefault="00DF7EB0" w:rsidP="00DF7EB0">
            <w:pPr>
              <w:tabs>
                <w:tab w:val="right" w:pos="3312"/>
              </w:tabs>
              <w:jc w:val="center"/>
              <w:rPr>
                <w:rFonts w:ascii="Garamond" w:hAnsi="Garamond"/>
              </w:rPr>
            </w:pPr>
            <w:r w:rsidRPr="00DF7EB0">
              <w:rPr>
                <w:rFonts w:ascii="Garamond" w:hAnsi="Garamond"/>
              </w:rPr>
              <w:t>Secret to Success</w:t>
            </w:r>
          </w:p>
          <w:p w:rsidR="00DF7EB0" w:rsidRPr="00DF7EB0" w:rsidRDefault="00DF7EB0" w:rsidP="00DF7EB0">
            <w:pPr>
              <w:tabs>
                <w:tab w:val="right" w:pos="3312"/>
              </w:tabs>
              <w:jc w:val="center"/>
              <w:rPr>
                <w:rFonts w:ascii="Garamond" w:hAnsi="Garamond"/>
              </w:rPr>
            </w:pPr>
          </w:p>
        </w:tc>
        <w:tc>
          <w:tcPr>
            <w:tcW w:w="8829" w:type="dxa"/>
          </w:tcPr>
          <w:p w:rsidR="00DF7EB0" w:rsidRDefault="009D75D5" w:rsidP="00DF7EB0">
            <w:pPr>
              <w:rPr>
                <w:rFonts w:ascii="Garamond" w:hAnsi="Garamond"/>
                <w:b/>
              </w:rPr>
            </w:pPr>
            <w:r>
              <w:rPr>
                <w:rFonts w:ascii="Garamond" w:hAnsi="Garamond"/>
              </w:rPr>
              <w:t>Knowing when we read we must think about the story and realize what the author is trying to tell us or what we are learning from the book. Readers stop frequently to Check for Understanding</w:t>
            </w:r>
            <w:r w:rsidR="0005072C">
              <w:rPr>
                <w:rFonts w:ascii="Garamond" w:hAnsi="Garamond"/>
              </w:rPr>
              <w:t xml:space="preserve"> or </w:t>
            </w:r>
            <w:proofErr w:type="gramStart"/>
            <w:r w:rsidR="0005072C">
              <w:rPr>
                <w:rFonts w:ascii="Garamond" w:hAnsi="Garamond"/>
              </w:rPr>
              <w:t>ask,</w:t>
            </w:r>
            <w:proofErr w:type="gramEnd"/>
            <w:r w:rsidR="0005072C">
              <w:rPr>
                <w:rFonts w:ascii="Garamond" w:hAnsi="Garamond"/>
              </w:rPr>
              <w:t xml:space="preserve"> who and what.</w:t>
            </w:r>
          </w:p>
          <w:p w:rsidR="00DF7EB0" w:rsidRPr="00F22A23" w:rsidRDefault="00DF7EB0" w:rsidP="00DF7EB0">
            <w:pPr>
              <w:rPr>
                <w:rFonts w:ascii="Garamond" w:hAnsi="Garamond"/>
              </w:rPr>
            </w:pPr>
          </w:p>
        </w:tc>
      </w:tr>
      <w:tr w:rsidR="00DF7EB0" w:rsidRPr="00B9029E" w:rsidTr="00DF7EB0">
        <w:trPr>
          <w:trHeight w:val="438"/>
        </w:trPr>
        <w:tc>
          <w:tcPr>
            <w:tcW w:w="1548" w:type="dxa"/>
            <w:shd w:val="clear" w:color="auto" w:fill="auto"/>
          </w:tcPr>
          <w:p w:rsidR="00DF7EB0" w:rsidRPr="00B9029E" w:rsidRDefault="00DF7EB0" w:rsidP="00DF7EB0">
            <w:pPr>
              <w:jc w:val="center"/>
              <w:rPr>
                <w:rFonts w:ascii="Garamond" w:hAnsi="Garamond"/>
              </w:rPr>
            </w:pPr>
          </w:p>
          <w:p w:rsidR="00DF7EB0" w:rsidRPr="00DF7EB0" w:rsidRDefault="00DF7EB0" w:rsidP="00DF7EB0">
            <w:pPr>
              <w:jc w:val="center"/>
              <w:rPr>
                <w:rFonts w:ascii="Garamond" w:hAnsi="Garamond"/>
              </w:rPr>
            </w:pPr>
            <w:r>
              <w:rPr>
                <w:rFonts w:ascii="Garamond" w:hAnsi="Garamond"/>
              </w:rPr>
              <w:t>How we teach it</w:t>
            </w:r>
          </w:p>
          <w:p w:rsidR="00DF7EB0" w:rsidRPr="00B9029E" w:rsidRDefault="00DF7EB0" w:rsidP="00DF7EB0">
            <w:pPr>
              <w:jc w:val="center"/>
              <w:rPr>
                <w:rFonts w:ascii="Garamond" w:hAnsi="Garamond"/>
              </w:rPr>
            </w:pPr>
          </w:p>
        </w:tc>
        <w:tc>
          <w:tcPr>
            <w:tcW w:w="8829" w:type="dxa"/>
          </w:tcPr>
          <w:p w:rsidR="00DF7EB0" w:rsidRPr="00B9029E" w:rsidRDefault="00DA74D2" w:rsidP="00DF7EB0">
            <w:pPr>
              <w:rPr>
                <w:rFonts w:ascii="Garamond" w:hAnsi="Garamond"/>
              </w:rPr>
            </w:pPr>
            <w:proofErr w:type="gramStart"/>
            <w:r>
              <w:rPr>
                <w:rFonts w:ascii="Garamond" w:hAnsi="Garamond"/>
              </w:rPr>
              <w:t xml:space="preserve">This </w:t>
            </w:r>
            <w:r w:rsidR="009D75D5">
              <w:rPr>
                <w:rFonts w:ascii="Garamond" w:hAnsi="Garamond"/>
              </w:rPr>
              <w:t xml:space="preserve"> vital</w:t>
            </w:r>
            <w:proofErr w:type="gramEnd"/>
            <w:r w:rsidR="009D75D5">
              <w:rPr>
                <w:rFonts w:ascii="Garamond" w:hAnsi="Garamond"/>
              </w:rPr>
              <w:t xml:space="preserve"> strategy is not only one of the first we introduce, but is also one we model each and every day of the school year. </w:t>
            </w:r>
          </w:p>
          <w:p w:rsidR="00DF7EB0" w:rsidRDefault="00DF7EB0" w:rsidP="00DF7EB0">
            <w:pPr>
              <w:rPr>
                <w:rFonts w:ascii="Garamond" w:hAnsi="Garamond"/>
              </w:rPr>
            </w:pPr>
          </w:p>
          <w:p w:rsidR="009D75D5" w:rsidRDefault="003A58E7" w:rsidP="0005072C">
            <w:pPr>
              <w:numPr>
                <w:ilvl w:val="0"/>
                <w:numId w:val="9"/>
              </w:numPr>
              <w:rPr>
                <w:rFonts w:ascii="Garamond" w:hAnsi="Garamond"/>
              </w:rPr>
            </w:pPr>
            <w:r>
              <w:rPr>
                <w:rFonts w:ascii="Garamond" w:hAnsi="Garamond"/>
              </w:rPr>
              <w:t>Model – during our read aloud we stop</w:t>
            </w:r>
            <w:r w:rsidR="0005072C">
              <w:rPr>
                <w:rFonts w:ascii="Garamond" w:hAnsi="Garamond"/>
              </w:rPr>
              <w:t xml:space="preserve"> periodically and saying, “</w:t>
            </w:r>
            <w:r>
              <w:rPr>
                <w:rFonts w:ascii="Garamond" w:hAnsi="Garamond"/>
              </w:rPr>
              <w:t>Let me see</w:t>
            </w:r>
            <w:r w:rsidR="0005072C">
              <w:rPr>
                <w:rFonts w:ascii="Garamond" w:hAnsi="Garamond"/>
              </w:rPr>
              <w:t xml:space="preserve"> if I remember</w:t>
            </w:r>
            <w:r>
              <w:rPr>
                <w:rFonts w:ascii="Garamond" w:hAnsi="Garamond"/>
              </w:rPr>
              <w:t xml:space="preserve"> what I just read.  I am going to start by thinking of who the story was about and what happened</w:t>
            </w:r>
            <w:r w:rsidR="00DA74D2">
              <w:rPr>
                <w:rFonts w:ascii="Garamond" w:hAnsi="Garamond"/>
              </w:rPr>
              <w:t>.</w:t>
            </w:r>
            <w:r>
              <w:rPr>
                <w:rFonts w:ascii="Garamond" w:hAnsi="Garamond"/>
              </w:rPr>
              <w:t xml:space="preserve">”  </w:t>
            </w:r>
          </w:p>
          <w:p w:rsidR="003A58E7" w:rsidRDefault="003A58E7" w:rsidP="0005072C">
            <w:pPr>
              <w:numPr>
                <w:ilvl w:val="0"/>
                <w:numId w:val="9"/>
              </w:numPr>
              <w:rPr>
                <w:rFonts w:ascii="Garamond" w:hAnsi="Garamond"/>
              </w:rPr>
            </w:pPr>
            <w:r>
              <w:rPr>
                <w:rFonts w:ascii="Garamond" w:hAnsi="Garamond"/>
              </w:rPr>
              <w:t xml:space="preserve"> Continue to stop periodically and tal</w:t>
            </w:r>
            <w:r w:rsidR="00DA74D2">
              <w:rPr>
                <w:rFonts w:ascii="Garamond" w:hAnsi="Garamond"/>
              </w:rPr>
              <w:t>k through the “who” and “what,”</w:t>
            </w:r>
            <w:r>
              <w:rPr>
                <w:rFonts w:ascii="Garamond" w:hAnsi="Garamond"/>
              </w:rPr>
              <w:t xml:space="preserve"> usually about 3-4 times during each read aloud</w:t>
            </w:r>
          </w:p>
          <w:p w:rsidR="00DA74D2" w:rsidRDefault="00DA74D2" w:rsidP="00DF7EB0">
            <w:pPr>
              <w:numPr>
                <w:ilvl w:val="0"/>
                <w:numId w:val="9"/>
              </w:numPr>
              <w:rPr>
                <w:rFonts w:ascii="Garamond" w:hAnsi="Garamond"/>
              </w:rPr>
            </w:pPr>
            <w:r>
              <w:rPr>
                <w:rFonts w:ascii="Garamond" w:hAnsi="Garamond"/>
              </w:rPr>
              <w:t>Scaffold - a</w:t>
            </w:r>
            <w:r w:rsidR="003A58E7" w:rsidRPr="003A58E7">
              <w:rPr>
                <w:rFonts w:ascii="Garamond" w:hAnsi="Garamond"/>
              </w:rPr>
              <w:t xml:space="preserve">fter 2-3 times of modeling this for students, we start asking students to answer the who and </w:t>
            </w:r>
            <w:proofErr w:type="gramStart"/>
            <w:r w:rsidR="003A58E7" w:rsidRPr="003A58E7">
              <w:rPr>
                <w:rFonts w:ascii="Garamond" w:hAnsi="Garamond"/>
              </w:rPr>
              <w:t>t</w:t>
            </w:r>
            <w:r>
              <w:rPr>
                <w:rFonts w:ascii="Garamond" w:hAnsi="Garamond"/>
              </w:rPr>
              <w:t>he what</w:t>
            </w:r>
            <w:proofErr w:type="gramEnd"/>
            <w:r>
              <w:rPr>
                <w:rFonts w:ascii="Garamond" w:hAnsi="Garamond"/>
              </w:rPr>
              <w:t xml:space="preserve"> through “turn and talk,” </w:t>
            </w:r>
            <w:r w:rsidR="003A58E7" w:rsidRPr="003A58E7">
              <w:rPr>
                <w:rFonts w:ascii="Garamond" w:hAnsi="Garamond"/>
              </w:rPr>
              <w:t xml:space="preserve">asking one student to do it for the whole class and then expecting children to do it on their own.  </w:t>
            </w:r>
          </w:p>
          <w:p w:rsidR="009D75D5" w:rsidRPr="003A58E7" w:rsidRDefault="009D75D5" w:rsidP="00DF7EB0">
            <w:pPr>
              <w:numPr>
                <w:ilvl w:val="0"/>
                <w:numId w:val="9"/>
              </w:numPr>
              <w:rPr>
                <w:rFonts w:ascii="Garamond" w:hAnsi="Garamond"/>
              </w:rPr>
            </w:pPr>
            <w:r w:rsidRPr="003A58E7">
              <w:rPr>
                <w:rFonts w:ascii="Garamond" w:hAnsi="Garamond"/>
              </w:rPr>
              <w:t xml:space="preserve">Language we use: </w:t>
            </w:r>
          </w:p>
          <w:p w:rsidR="009D75D5" w:rsidRDefault="009D75D5" w:rsidP="009D75D5">
            <w:pPr>
              <w:rPr>
                <w:rFonts w:ascii="Garamond" w:hAnsi="Garamond"/>
              </w:rPr>
            </w:pPr>
            <w:r>
              <w:rPr>
                <w:rFonts w:ascii="Garamond" w:hAnsi="Garamond"/>
              </w:rPr>
              <w:t xml:space="preserve">“Stop often to Check for understanding so you don’t read any farther.” </w:t>
            </w:r>
          </w:p>
          <w:p w:rsidR="009D75D5" w:rsidRDefault="009D75D5" w:rsidP="009D75D5">
            <w:pPr>
              <w:rPr>
                <w:rFonts w:ascii="Garamond" w:hAnsi="Garamond"/>
              </w:rPr>
            </w:pPr>
            <w:r>
              <w:rPr>
                <w:rFonts w:ascii="Garamond" w:hAnsi="Garamond"/>
              </w:rPr>
              <w:t xml:space="preserve"> “</w:t>
            </w:r>
            <w:r w:rsidRPr="009D75D5">
              <w:rPr>
                <w:rFonts w:ascii="Garamond" w:hAnsi="Garamond"/>
                <w:b/>
              </w:rPr>
              <w:t>Who</w:t>
            </w:r>
            <w:r>
              <w:rPr>
                <w:rFonts w:ascii="Garamond" w:hAnsi="Garamond"/>
              </w:rPr>
              <w:t xml:space="preserve"> did you just read about and </w:t>
            </w:r>
            <w:r w:rsidRPr="009D75D5">
              <w:rPr>
                <w:rFonts w:ascii="Garamond" w:hAnsi="Garamond"/>
                <w:b/>
              </w:rPr>
              <w:t>what</w:t>
            </w:r>
            <w:r>
              <w:rPr>
                <w:rFonts w:ascii="Garamond" w:hAnsi="Garamond"/>
              </w:rPr>
              <w:t xml:space="preserve"> just happened?”</w:t>
            </w:r>
          </w:p>
          <w:p w:rsidR="009D75D5" w:rsidRDefault="009D75D5" w:rsidP="009D75D5">
            <w:pPr>
              <w:rPr>
                <w:rFonts w:ascii="Garamond" w:hAnsi="Garamond"/>
              </w:rPr>
            </w:pPr>
            <w:r>
              <w:rPr>
                <w:rFonts w:ascii="Garamond" w:hAnsi="Garamond"/>
              </w:rPr>
              <w:t>“How often did you stop to Check for Understanding?  After each sentence, after each paragraph, at the end of each page?”</w:t>
            </w:r>
          </w:p>
          <w:p w:rsidR="009D75D5" w:rsidRDefault="009D75D5" w:rsidP="009D75D5">
            <w:pPr>
              <w:rPr>
                <w:rFonts w:ascii="Garamond" w:hAnsi="Garamond"/>
              </w:rPr>
            </w:pPr>
            <w:r>
              <w:rPr>
                <w:rFonts w:ascii="Garamond" w:hAnsi="Garamond"/>
              </w:rPr>
              <w:t>Was your brain talking to you while you read?”</w:t>
            </w:r>
          </w:p>
          <w:p w:rsidR="009D75D5" w:rsidRDefault="009D75D5" w:rsidP="009D75D5">
            <w:pPr>
              <w:rPr>
                <w:rFonts w:ascii="Garamond" w:hAnsi="Garamond"/>
              </w:rPr>
            </w:pPr>
            <w:r>
              <w:rPr>
                <w:rFonts w:ascii="Garamond" w:hAnsi="Garamond"/>
              </w:rPr>
              <w:t xml:space="preserve">“Are you finding you </w:t>
            </w:r>
            <w:proofErr w:type="gramStart"/>
            <w:r>
              <w:rPr>
                <w:rFonts w:ascii="Garamond" w:hAnsi="Garamond"/>
              </w:rPr>
              <w:t>are understanding</w:t>
            </w:r>
            <w:proofErr w:type="gramEnd"/>
            <w:r>
              <w:rPr>
                <w:rFonts w:ascii="Garamond" w:hAnsi="Garamond"/>
              </w:rPr>
              <w:t xml:space="preserve"> what you are reading?” </w:t>
            </w:r>
          </w:p>
          <w:p w:rsidR="009D75D5" w:rsidRPr="00B9029E" w:rsidRDefault="009D75D5" w:rsidP="009D75D5">
            <w:pPr>
              <w:rPr>
                <w:rFonts w:ascii="Garamond" w:hAnsi="Garamond"/>
              </w:rPr>
            </w:pPr>
            <w:r>
              <w:rPr>
                <w:rFonts w:ascii="Garamond" w:hAnsi="Garamond"/>
              </w:rPr>
              <w:t>“What do you do if you don’t remember?”</w:t>
            </w:r>
          </w:p>
        </w:tc>
      </w:tr>
      <w:tr w:rsidR="00DF7EB0" w:rsidRPr="00B9029E" w:rsidTr="009D75D5">
        <w:trPr>
          <w:trHeight w:val="305"/>
        </w:trPr>
        <w:tc>
          <w:tcPr>
            <w:tcW w:w="1548" w:type="dxa"/>
            <w:shd w:val="clear" w:color="auto" w:fill="auto"/>
          </w:tcPr>
          <w:p w:rsidR="00DF7EB0" w:rsidRDefault="00DF7EB0" w:rsidP="00DF7EB0">
            <w:pPr>
              <w:jc w:val="center"/>
              <w:rPr>
                <w:rFonts w:ascii="Garamond" w:hAnsi="Garamond"/>
              </w:rPr>
            </w:pPr>
          </w:p>
          <w:p w:rsidR="00DF7EB0" w:rsidRDefault="00DF7EB0" w:rsidP="00DF7EB0">
            <w:pPr>
              <w:jc w:val="center"/>
              <w:rPr>
                <w:rFonts w:ascii="Garamond" w:hAnsi="Garamond"/>
              </w:rPr>
            </w:pPr>
            <w:r>
              <w:rPr>
                <w:rFonts w:ascii="Garamond" w:hAnsi="Garamond"/>
              </w:rPr>
              <w:t>Trouble</w:t>
            </w:r>
          </w:p>
          <w:p w:rsidR="00DF7EB0" w:rsidRDefault="00DF7EB0" w:rsidP="00DF7EB0">
            <w:pPr>
              <w:jc w:val="center"/>
              <w:rPr>
                <w:rFonts w:ascii="Garamond" w:hAnsi="Garamond"/>
              </w:rPr>
            </w:pPr>
            <w:r>
              <w:rPr>
                <w:rFonts w:ascii="Garamond" w:hAnsi="Garamond"/>
              </w:rPr>
              <w:t>Shooting</w:t>
            </w:r>
          </w:p>
          <w:p w:rsidR="00DF7EB0" w:rsidRPr="00B9029E" w:rsidRDefault="00DF7EB0" w:rsidP="00DF7EB0">
            <w:pPr>
              <w:jc w:val="center"/>
              <w:rPr>
                <w:rFonts w:ascii="Garamond" w:hAnsi="Garamond"/>
                <w:b/>
              </w:rPr>
            </w:pPr>
          </w:p>
        </w:tc>
        <w:tc>
          <w:tcPr>
            <w:tcW w:w="8829" w:type="dxa"/>
          </w:tcPr>
          <w:p w:rsidR="00DF7EB0" w:rsidRPr="00B9029E" w:rsidRDefault="00DF7EB0" w:rsidP="009D75D5">
            <w:pPr>
              <w:rPr>
                <w:rFonts w:ascii="Garamond" w:hAnsi="Garamond"/>
              </w:rPr>
            </w:pPr>
            <w:r>
              <w:rPr>
                <w:rFonts w:ascii="Garamond" w:hAnsi="Garamond"/>
              </w:rPr>
              <w:t xml:space="preserve"> </w:t>
            </w:r>
            <w:r w:rsidR="009D75D5">
              <w:rPr>
                <w:rFonts w:ascii="Garamond" w:hAnsi="Garamond"/>
              </w:rPr>
              <w:t xml:space="preserve"> We had a parent in our class cut out large check marks, approximately 7 inches long, out of balsa wood.  Often we provide these check marks to students as a reminder to stop and check for understanding.  They work particularly well when partners are reading together and working on Check for Understanding.  The person listening to their partner read has the job of holding the checkmark and when the reader comes to the end of a page or paragraph the checkmark holder has the job of Checking for Understanding what the reader just said.  On one side of the check marks we write, “Check for Understanding” the other side, “Who and what.”</w:t>
            </w:r>
          </w:p>
        </w:tc>
      </w:tr>
    </w:tbl>
    <w:p w:rsidR="00CD3F08" w:rsidRPr="00ED3C3D" w:rsidRDefault="009D75D5">
      <w:pPr>
        <w:rPr>
          <w:rFonts w:ascii="Garamond" w:hAnsi="Garamond"/>
          <w:b/>
        </w:rPr>
      </w:pPr>
      <w:r>
        <w:rPr>
          <w:rFonts w:ascii="Garamond" w:hAnsi="Garamond"/>
        </w:rPr>
        <w:t xml:space="preserve">     </w:t>
      </w:r>
      <w:r w:rsidRPr="00ED3C3D">
        <w:rPr>
          <w:rFonts w:ascii="Garamond" w:hAnsi="Garamond"/>
          <w:b/>
          <w:sz w:val="32"/>
        </w:rPr>
        <w:t xml:space="preserve"> Goal: Comprehension</w:t>
      </w:r>
      <w:r w:rsidRPr="00ED3C3D">
        <w:rPr>
          <w:rFonts w:ascii="Garamond" w:hAnsi="Garamond"/>
          <w:b/>
          <w:sz w:val="32"/>
        </w:rPr>
        <w:tab/>
      </w:r>
      <w:r w:rsidRPr="00ED3C3D">
        <w:rPr>
          <w:rFonts w:ascii="Garamond" w:hAnsi="Garamond"/>
          <w:b/>
          <w:sz w:val="32"/>
        </w:rPr>
        <w:tab/>
      </w:r>
      <w:r w:rsidR="00DF7EB0" w:rsidRPr="00ED3C3D">
        <w:rPr>
          <w:rFonts w:ascii="Garamond" w:hAnsi="Garamond"/>
          <w:b/>
          <w:sz w:val="32"/>
        </w:rPr>
        <w:t>Strategy:</w:t>
      </w:r>
      <w:r w:rsidRPr="00ED3C3D">
        <w:rPr>
          <w:rFonts w:ascii="Garamond" w:hAnsi="Garamond"/>
          <w:b/>
          <w:sz w:val="32"/>
        </w:rPr>
        <w:t xml:space="preserve"> Check for Understanding</w:t>
      </w:r>
    </w:p>
    <w:p w:rsidR="0005072C" w:rsidRPr="00A47318" w:rsidRDefault="0005072C">
      <w:pPr>
        <w:rPr>
          <w:rFonts w:ascii="Garamond" w:hAnsi="Garamond"/>
        </w:rPr>
      </w:pPr>
    </w:p>
    <w:sectPr w:rsidR="0005072C" w:rsidRPr="00A47318" w:rsidSect="007472F4">
      <w:headerReference w:type="default" r:id="rId8"/>
      <w:footerReference w:type="default" r:id="rId9"/>
      <w:pgSz w:w="12240" w:h="15840"/>
      <w:pgMar w:top="720"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695" w:rsidRDefault="00774695">
      <w:r>
        <w:separator/>
      </w:r>
    </w:p>
  </w:endnote>
  <w:endnote w:type="continuationSeparator" w:id="1">
    <w:p w:rsidR="00774695" w:rsidRDefault="007746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FC1" w:rsidRDefault="004D7FC1" w:rsidP="007472F4">
    <w:pPr>
      <w:pStyle w:val="Footer"/>
      <w:rPr>
        <w:sz w:val="16"/>
        <w:szCs w:val="16"/>
      </w:rPr>
    </w:pPr>
  </w:p>
  <w:p w:rsidR="004D7FC1" w:rsidRPr="008A0281" w:rsidRDefault="00DA74D2" w:rsidP="00E57979">
    <w:pPr>
      <w:pStyle w:val="Footer"/>
      <w:jc w:val="center"/>
      <w:rPr>
        <w:sz w:val="16"/>
        <w:szCs w:val="16"/>
      </w:rPr>
    </w:pPr>
    <w:r>
      <w:rPr>
        <w:sz w:val="16"/>
        <w:szCs w:val="16"/>
      </w:rPr>
      <w:t>Boushey&amp;</w:t>
    </w:r>
    <w:r w:rsidR="004D7FC1" w:rsidRPr="008A0281">
      <w:rPr>
        <w:sz w:val="16"/>
        <w:szCs w:val="16"/>
      </w:rPr>
      <w:t>Moser</w:t>
    </w:r>
  </w:p>
  <w:p w:rsidR="004D7FC1" w:rsidRPr="008A0281" w:rsidRDefault="004D7FC1" w:rsidP="008A0281">
    <w:pPr>
      <w:pStyle w:val="Footer"/>
      <w:jc w:val="center"/>
      <w:rPr>
        <w:sz w:val="16"/>
        <w:szCs w:val="16"/>
      </w:rPr>
    </w:pPr>
    <w:r w:rsidRPr="008A0281">
      <w:rPr>
        <w:sz w:val="16"/>
        <w:szCs w:val="16"/>
      </w:rPr>
      <w:t>©The2sisters</w:t>
    </w:r>
    <w:r w:rsidR="00DA74D2">
      <w:rPr>
        <w:sz w:val="16"/>
        <w:szCs w:val="16"/>
      </w:rPr>
      <w:t xml:space="preserve"> www.thedailycafe.com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695" w:rsidRDefault="00774695">
      <w:r>
        <w:separator/>
      </w:r>
    </w:p>
  </w:footnote>
  <w:footnote w:type="continuationSeparator" w:id="1">
    <w:p w:rsidR="00774695" w:rsidRDefault="007746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FC1" w:rsidRPr="00B66EE5" w:rsidRDefault="004D7FC1" w:rsidP="008A0281">
    <w:pPr>
      <w:pStyle w:val="Header"/>
      <w:jc w:val="center"/>
      <w:rPr>
        <w:rFonts w:ascii="Papyrus" w:hAnsi="Papyrus"/>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7FFE"/>
    <w:multiLevelType w:val="hybridMultilevel"/>
    <w:tmpl w:val="E7D09A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BC4D54"/>
    <w:multiLevelType w:val="hybridMultilevel"/>
    <w:tmpl w:val="4B8E0C26"/>
    <w:lvl w:ilvl="0" w:tplc="6BDAE7DA">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nsid w:val="103E4AB4"/>
    <w:multiLevelType w:val="hybridMultilevel"/>
    <w:tmpl w:val="6284CC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2163089F"/>
    <w:multiLevelType w:val="hybridMultilevel"/>
    <w:tmpl w:val="DAFEE8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0806459"/>
    <w:multiLevelType w:val="hybridMultilevel"/>
    <w:tmpl w:val="11F07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535B7"/>
    <w:multiLevelType w:val="hybridMultilevel"/>
    <w:tmpl w:val="B34041E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1C8527A"/>
    <w:multiLevelType w:val="hybridMultilevel"/>
    <w:tmpl w:val="6CCC4C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3C1E8F"/>
    <w:multiLevelType w:val="hybridMultilevel"/>
    <w:tmpl w:val="1244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7BF461C"/>
    <w:multiLevelType w:val="hybridMultilevel"/>
    <w:tmpl w:val="E070DB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7"/>
  </w:num>
  <w:num w:numId="4">
    <w:abstractNumId w:val="3"/>
  </w:num>
  <w:num w:numId="5">
    <w:abstractNumId w:val="5"/>
  </w:num>
  <w:num w:numId="6">
    <w:abstractNumId w:val="6"/>
  </w:num>
  <w:num w:numId="7">
    <w:abstractNumId w:val="1"/>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stylePaneFormatFilter w:val="3F01"/>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3F08"/>
    <w:rsid w:val="00001BCD"/>
    <w:rsid w:val="0002755C"/>
    <w:rsid w:val="0005072C"/>
    <w:rsid w:val="0007220C"/>
    <w:rsid w:val="00076567"/>
    <w:rsid w:val="00085E1B"/>
    <w:rsid w:val="00092CCA"/>
    <w:rsid w:val="00095521"/>
    <w:rsid w:val="000C45E9"/>
    <w:rsid w:val="000E071F"/>
    <w:rsid w:val="000E3B2F"/>
    <w:rsid w:val="000F104E"/>
    <w:rsid w:val="00104FC7"/>
    <w:rsid w:val="00141DA4"/>
    <w:rsid w:val="00157589"/>
    <w:rsid w:val="00183BFE"/>
    <w:rsid w:val="001F37FF"/>
    <w:rsid w:val="001F6CCF"/>
    <w:rsid w:val="00207DE6"/>
    <w:rsid w:val="00210EF1"/>
    <w:rsid w:val="00220A31"/>
    <w:rsid w:val="00243B7D"/>
    <w:rsid w:val="00263429"/>
    <w:rsid w:val="00293B2D"/>
    <w:rsid w:val="002D7ADF"/>
    <w:rsid w:val="002F69B3"/>
    <w:rsid w:val="00322CEA"/>
    <w:rsid w:val="003248F3"/>
    <w:rsid w:val="003574F7"/>
    <w:rsid w:val="00364ADD"/>
    <w:rsid w:val="00375CCB"/>
    <w:rsid w:val="003A58E7"/>
    <w:rsid w:val="003B71B8"/>
    <w:rsid w:val="003C0C30"/>
    <w:rsid w:val="003C40D0"/>
    <w:rsid w:val="003C71FC"/>
    <w:rsid w:val="003F5E7F"/>
    <w:rsid w:val="004137E0"/>
    <w:rsid w:val="00451F49"/>
    <w:rsid w:val="00471C8D"/>
    <w:rsid w:val="004D7FC1"/>
    <w:rsid w:val="004E7C1E"/>
    <w:rsid w:val="005002FC"/>
    <w:rsid w:val="00500AD9"/>
    <w:rsid w:val="00500F07"/>
    <w:rsid w:val="00510CC1"/>
    <w:rsid w:val="0053400F"/>
    <w:rsid w:val="00552891"/>
    <w:rsid w:val="00565278"/>
    <w:rsid w:val="00587AFF"/>
    <w:rsid w:val="005C113A"/>
    <w:rsid w:val="00620B7F"/>
    <w:rsid w:val="00626625"/>
    <w:rsid w:val="00632574"/>
    <w:rsid w:val="00645E15"/>
    <w:rsid w:val="006471C6"/>
    <w:rsid w:val="006A1931"/>
    <w:rsid w:val="007127D1"/>
    <w:rsid w:val="00743F41"/>
    <w:rsid w:val="0074648B"/>
    <w:rsid w:val="007472F4"/>
    <w:rsid w:val="00752516"/>
    <w:rsid w:val="00774695"/>
    <w:rsid w:val="00785931"/>
    <w:rsid w:val="00793871"/>
    <w:rsid w:val="007E40A7"/>
    <w:rsid w:val="0080047D"/>
    <w:rsid w:val="00830684"/>
    <w:rsid w:val="00843C24"/>
    <w:rsid w:val="0086132F"/>
    <w:rsid w:val="00864510"/>
    <w:rsid w:val="008650D0"/>
    <w:rsid w:val="008A0281"/>
    <w:rsid w:val="008A047C"/>
    <w:rsid w:val="008C49BB"/>
    <w:rsid w:val="008D4CC3"/>
    <w:rsid w:val="00913AB1"/>
    <w:rsid w:val="009238D9"/>
    <w:rsid w:val="009714A8"/>
    <w:rsid w:val="00974CF5"/>
    <w:rsid w:val="009954C5"/>
    <w:rsid w:val="009D75D5"/>
    <w:rsid w:val="009E27C3"/>
    <w:rsid w:val="00A26087"/>
    <w:rsid w:val="00A37AAE"/>
    <w:rsid w:val="00A4302E"/>
    <w:rsid w:val="00A47318"/>
    <w:rsid w:val="00A52964"/>
    <w:rsid w:val="00A565BA"/>
    <w:rsid w:val="00AB7602"/>
    <w:rsid w:val="00AF45C0"/>
    <w:rsid w:val="00B00F89"/>
    <w:rsid w:val="00B6099C"/>
    <w:rsid w:val="00B62B6F"/>
    <w:rsid w:val="00B64404"/>
    <w:rsid w:val="00B66EE5"/>
    <w:rsid w:val="00B9029E"/>
    <w:rsid w:val="00BB4C4D"/>
    <w:rsid w:val="00BF2E9A"/>
    <w:rsid w:val="00C0256D"/>
    <w:rsid w:val="00C1724B"/>
    <w:rsid w:val="00C567C1"/>
    <w:rsid w:val="00C8676A"/>
    <w:rsid w:val="00CC582D"/>
    <w:rsid w:val="00CC72A8"/>
    <w:rsid w:val="00CD3292"/>
    <w:rsid w:val="00CD3F08"/>
    <w:rsid w:val="00D06C3A"/>
    <w:rsid w:val="00D20619"/>
    <w:rsid w:val="00D26BEE"/>
    <w:rsid w:val="00D35A51"/>
    <w:rsid w:val="00D40B3D"/>
    <w:rsid w:val="00D734F1"/>
    <w:rsid w:val="00DA5829"/>
    <w:rsid w:val="00DA74D2"/>
    <w:rsid w:val="00DF7111"/>
    <w:rsid w:val="00DF7EB0"/>
    <w:rsid w:val="00E03BDA"/>
    <w:rsid w:val="00E07008"/>
    <w:rsid w:val="00E22312"/>
    <w:rsid w:val="00E57979"/>
    <w:rsid w:val="00E92259"/>
    <w:rsid w:val="00EA3982"/>
    <w:rsid w:val="00ED310C"/>
    <w:rsid w:val="00ED3C3D"/>
    <w:rsid w:val="00F22A23"/>
    <w:rsid w:val="00F363D9"/>
    <w:rsid w:val="00F524EE"/>
    <w:rsid w:val="00F67F34"/>
    <w:rsid w:val="00FC30FA"/>
    <w:rsid w:val="00FE01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f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D3F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71C8D"/>
    <w:pPr>
      <w:tabs>
        <w:tab w:val="center" w:pos="4320"/>
        <w:tab w:val="right" w:pos="8640"/>
      </w:tabs>
    </w:pPr>
  </w:style>
  <w:style w:type="paragraph" w:styleId="Footer">
    <w:name w:val="footer"/>
    <w:basedOn w:val="Normal"/>
    <w:rsid w:val="00471C8D"/>
    <w:pPr>
      <w:tabs>
        <w:tab w:val="center" w:pos="4320"/>
        <w:tab w:val="right" w:pos="8640"/>
      </w:tabs>
    </w:pPr>
  </w:style>
  <w:style w:type="paragraph" w:styleId="BalloonText">
    <w:name w:val="Balloon Text"/>
    <w:basedOn w:val="Normal"/>
    <w:semiHidden/>
    <w:rsid w:val="000E3B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CC380-2470-4B51-BAA3-005163A0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466</Words>
  <Characters>2212</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Goal:</vt:lpstr>
    </vt:vector>
  </TitlesOfParts>
  <Company>Kent School District 415</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Goal:</dc:title>
  <dc:subject/>
  <dc:creator>Tip</dc:creator>
  <cp:keywords/>
  <cp:lastModifiedBy>xpuser</cp:lastModifiedBy>
  <cp:revision>2</cp:revision>
  <cp:lastPrinted>2008-07-19T14:37:00Z</cp:lastPrinted>
  <dcterms:created xsi:type="dcterms:W3CDTF">2008-10-22T12:33:00Z</dcterms:created>
  <dcterms:modified xsi:type="dcterms:W3CDTF">2008-10-22T12:33:00Z</dcterms:modified>
</cp:coreProperties>
</file>